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0AF7" w14:textId="69CB06A7" w:rsidR="00E04E70" w:rsidRPr="001C5F55" w:rsidRDefault="00EB14F2" w:rsidP="00E04E7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32"/>
          <w:szCs w:val="32"/>
          <w:lang w:val="en-GB"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Rückblick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Polyclose 2026 – 22.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Ausgabe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bestätigt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Polyclose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als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festen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nl-BE"/>
          <w14:ligatures w14:val="none"/>
        </w:rPr>
        <w:t>Branchentermin</w:t>
      </w:r>
      <w:proofErr w:type="spellEnd"/>
    </w:p>
    <w:p w14:paraId="63D49976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Von Mittwoch, 14. </w:t>
      </w:r>
      <w:proofErr w:type="spellStart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>Januar</w:t>
      </w:r>
      <w:proofErr w:type="spellEnd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, bis Freitag, 16.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Januar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Flanders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Expo Gent die 22.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Ausgabe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der Polyclose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statt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Fachmesse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Fenster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-,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Türen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-,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Sonnenschutz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-,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Fassaden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-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Zutrittstechnik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begrüßte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insgesamt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10.885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qualifizierte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zielgerichtete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Fachbesucher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21 %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Besucher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kamen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Niederlanden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was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anhaltende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Attraktivität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der Polyclose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innerhalb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des Benelux-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Raums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unterstreicht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6E102A4B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mehr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als 200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Ausstellern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bot Polyclose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erneut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breiten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repräsentativen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Überblick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über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Produkte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Systeme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Lösungen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Gebäudehülle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viele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Fachleute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blieb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der ideale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Zeitpunkt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Innovationen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entdecken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bestehende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Kontakte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pflegen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neue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Geschäftsbeziehungen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einem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vertrauten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effizienten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Messeumfeld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aufzubauen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7D3364B2" w14:textId="77777777" w:rsidR="00EB14F2" w:rsidRPr="00EB14F2" w:rsidRDefault="00EB14F2" w:rsidP="00EB14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Innovation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Praxis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im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Mittelpunkt</w:t>
      </w:r>
      <w:proofErr w:type="spellEnd"/>
    </w:p>
    <w:p w14:paraId="37AAFEC5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Wie bei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vorherigen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Ausgaben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lag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Schwerpunkt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konkreten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Anwendungen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marktreifen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Innovationen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Besucher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fanden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umfangreiches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Angebot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Lösungen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Bereichen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Sonnenschutz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Fassadensysteme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Fenster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Türen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Zutrittstechnik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Dämmung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Lüftung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Zubehör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Software,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Maschinen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unterstützende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Technologien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Branche waren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zahlreich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vertreten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35FC9A04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Vier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Fokusthemen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zogen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sich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deutlich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durch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das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Messeangebot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Lösungen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Vermeidung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von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Überhitzung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standen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Vordergrund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anderem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durch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textilen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Sonnenschutz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intelligente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Fassadensysteme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automatisierte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Steuerungen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Gleichzeitig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gewann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akustische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Komfort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zunehmend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Bedeutung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Anwendungen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Schallschutzverglasung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schallabsorbierender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Fassadendämmung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leisen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Lüftungslösungen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36AD6C1D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Nachhaltigkeit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Zirkularität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waren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stark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vertreten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innovativen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Dämmstoffen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modularen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Aufbaukonzepten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Wiederverwendung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von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Ressourcen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sowie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einem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klaren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Fokus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Lebensdauer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Wartung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Darüber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hinaus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zeigte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sich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deutlich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wie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Digitalisierung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Smart-Façade-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Lösungen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zunehmend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Gebäudehülle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integriert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werden –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etwa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durch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intelligente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Zutrittskontrollen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Energiemanagement,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Automatisierung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Monitoring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Fassadenebene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Hersteller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Systemanbieter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reagierten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damit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steigende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Anforderungen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Bezug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Leistung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Regulierung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Montagequalität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sowohl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Neubau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als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Renovierung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36195426" w14:textId="77777777" w:rsidR="00EB14F2" w:rsidRPr="00EB14F2" w:rsidRDefault="00EB14F2" w:rsidP="00EB14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</w:pPr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Internationaler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Treffpunkt</w:t>
      </w:r>
      <w:proofErr w:type="spellEnd"/>
    </w:p>
    <w:p w14:paraId="04BE17D1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2026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bestätigte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Polyclose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ihre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Rolle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als internationaler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Treffpunkt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Branche.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Neben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belgischen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Besuchern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zog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erneut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beträchtliche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Anzahl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von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Fachleuten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Niederlanden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ergänzt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durch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Besucher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Aussteller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anderen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europäischen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Ländern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Diese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internationale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Mischung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stellt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seit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Jahren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wichtigen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Mehrwert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Wissensaustausch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Geschäftsentwicklung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dar.</w:t>
      </w:r>
    </w:p>
    <w:p w14:paraId="0BA45085" w14:textId="77777777" w:rsidR="00EB14F2" w:rsidRPr="00EB14F2" w:rsidRDefault="00EB14F2" w:rsidP="00EB14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lastRenderedPageBreak/>
        <w:t>PolycloseSummit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als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ergänzende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Vertiefung</w:t>
      </w:r>
      <w:proofErr w:type="spellEnd"/>
    </w:p>
    <w:p w14:paraId="39B1BC82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Neu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bei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dieser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Ausgabe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war der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PolycloseSummit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ergänzendes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inhaltliches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Programm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Academy,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Talks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Previews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Labs, das als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optionale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Vertiefung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zum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Messebesuch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konzipiert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war.</w:t>
      </w:r>
    </w:p>
    <w:p w14:paraId="729997EC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Innerhalb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dieses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Programms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stieß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insbesondere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tägliche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PolycloseAcademy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großes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Interesse. In der Masterclass „Die 10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Schreinertrends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Richtung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2030“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gab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Professor Nathan Van Den Bossche (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Universität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Gent)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praxisnahe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Einblicke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Entwicklungen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die das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Schreinerhandwerk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kommenden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Jahren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prägen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werden –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basierend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Tests,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Baustellenerfahrung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internationalen Praxisbeispielen.</w:t>
      </w:r>
    </w:p>
    <w:p w14:paraId="09662AA1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PolycloseTalks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brachten Experten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aktuellen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Themen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Sonnenschutz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Energieeffizienz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Zirkularität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Normierung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zusammen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Beiträgen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von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Ausstellern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Organisationen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wie Bouwunie,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Embuild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MWA, Pixii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Buildwise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Die Previews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Labs boten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zusätzliche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niedrigschwellige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Einblicke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in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Produktinnovationen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technische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Anwendungen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der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2F7E1990" w14:textId="77777777" w:rsidR="00EB14F2" w:rsidRPr="00EB14F2" w:rsidRDefault="00EB14F2" w:rsidP="00EB14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eastAsia="nl-BE"/>
          <w14:ligatures w14:val="none"/>
        </w:rPr>
        <w:t>Ausblick</w:t>
      </w:r>
      <w:proofErr w:type="spellEnd"/>
    </w:p>
    <w:p w14:paraId="13A77033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Mit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dieser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22.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Ausgabe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bestätigt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Polyclose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ihre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Position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als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fester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zweijährlicher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Termin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für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Fachleute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den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Bereichen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Fenster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Türen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Sonnenschutz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,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Fassaden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-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Zutrittstechnik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.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Messeorganisation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blickt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nun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die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nächste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Ausgabe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und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baut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dabei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weiter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das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bewährte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Messekonzept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auf</w:t>
      </w:r>
      <w:proofErr w:type="spellEnd"/>
      <w:r w:rsidRPr="00EB14F2">
        <w:rPr>
          <w:rFonts w:ascii="Calibri" w:eastAsia="Times New Roman" w:hAnsi="Calibri" w:cs="Calibri"/>
          <w:kern w:val="0"/>
          <w:lang w:eastAsia="nl-BE"/>
          <w14:ligatures w14:val="none"/>
        </w:rPr>
        <w:t>.</w:t>
      </w:r>
    </w:p>
    <w:p w14:paraId="19880190" w14:textId="1232E4C9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Nächste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>Ausgabe</w:t>
      </w:r>
      <w:proofErr w:type="spellEnd"/>
      <w:r w:rsidRPr="00EB14F2"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t xml:space="preserve"> der Polyclose:</w:t>
      </w:r>
      <w:r>
        <w:rPr>
          <w:rFonts w:ascii="Calibri" w:eastAsia="Times New Roman" w:hAnsi="Calibri" w:cs="Calibri"/>
          <w:b/>
          <w:bCs/>
          <w:kern w:val="0"/>
          <w:lang w:val="en-GB" w:eastAsia="nl-BE"/>
          <w14:ligatures w14:val="none"/>
        </w:rPr>
        <w:br/>
      </w:r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br/>
        <w:t xml:space="preserve">19. – 20. – 21. </w:t>
      </w:r>
      <w:proofErr w:type="spellStart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>Januar</w:t>
      </w:r>
      <w:proofErr w:type="spellEnd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2028</w:t>
      </w:r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br/>
        <w:t>Flanders Expo Gent</w:t>
      </w:r>
    </w:p>
    <w:p w14:paraId="11B0AB29" w14:textId="77777777" w:rsidR="00EB14F2" w:rsidRPr="00EB14F2" w:rsidRDefault="00EB14F2" w:rsidP="00EB14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BE"/>
          <w14:ligatures w14:val="none"/>
        </w:rPr>
      </w:pPr>
      <w:proofErr w:type="spellStart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>Weitere</w:t>
      </w:r>
      <w:proofErr w:type="spellEnd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 xml:space="preserve"> </w:t>
      </w:r>
      <w:proofErr w:type="spellStart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>Informationen</w:t>
      </w:r>
      <w:proofErr w:type="spellEnd"/>
      <w:r w:rsidRPr="00EB14F2">
        <w:rPr>
          <w:rFonts w:ascii="Calibri" w:eastAsia="Times New Roman" w:hAnsi="Calibri" w:cs="Calibri"/>
          <w:kern w:val="0"/>
          <w:lang w:val="en-GB" w:eastAsia="nl-BE"/>
          <w14:ligatures w14:val="none"/>
        </w:rPr>
        <w:t>: www.polyclose.be</w:t>
      </w:r>
    </w:p>
    <w:sectPr w:rsidR="00EB14F2" w:rsidRPr="00EB1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70"/>
    <w:rsid w:val="001C5F55"/>
    <w:rsid w:val="007B1A87"/>
    <w:rsid w:val="007D17B4"/>
    <w:rsid w:val="00B87C61"/>
    <w:rsid w:val="00C03A10"/>
    <w:rsid w:val="00E04E70"/>
    <w:rsid w:val="00E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D72"/>
  <w15:chartTrackingRefBased/>
  <w15:docId w15:val="{2FA83660-500D-4E51-9FB5-BD52F2B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4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4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4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4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4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4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4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4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4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4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4E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4E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4E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4E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4E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4E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E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4E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4E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4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4E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4E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B1A8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Vanhoorne</dc:creator>
  <cp:keywords/>
  <dc:description/>
  <cp:lastModifiedBy>Eva Vanhoorne</cp:lastModifiedBy>
  <cp:revision>2</cp:revision>
  <dcterms:created xsi:type="dcterms:W3CDTF">2026-01-19T11:59:00Z</dcterms:created>
  <dcterms:modified xsi:type="dcterms:W3CDTF">2026-01-19T11:59:00Z</dcterms:modified>
</cp:coreProperties>
</file>